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70" w:rsidRPr="00AF4EC2" w:rsidRDefault="00AF4EC2" w:rsidP="00AF4EC2">
      <w:pPr>
        <w:spacing w:after="0"/>
        <w:jc w:val="center"/>
        <w:rPr>
          <w:b/>
          <w:sz w:val="28"/>
        </w:rPr>
      </w:pPr>
      <w:r w:rsidRPr="00AF4EC2">
        <w:rPr>
          <w:b/>
          <w:sz w:val="28"/>
        </w:rPr>
        <w:t>Quick Guide to NM SBDC Recovery Model</w:t>
      </w:r>
    </w:p>
    <w:p w:rsidR="00AF4EC2" w:rsidRDefault="00AF4EC2" w:rsidP="00AF4EC2">
      <w:pPr>
        <w:spacing w:after="0"/>
      </w:pPr>
    </w:p>
    <w:p w:rsidR="00AF4EC2" w:rsidRPr="00F90B3C" w:rsidRDefault="00AF4EC2" w:rsidP="00AF4EC2">
      <w:pPr>
        <w:spacing w:after="0"/>
        <w:rPr>
          <w:b/>
          <w:i/>
        </w:rPr>
      </w:pPr>
      <w:r w:rsidRPr="00F90B3C">
        <w:rPr>
          <w:b/>
          <w:i/>
        </w:rPr>
        <w:t>Files:</w:t>
      </w:r>
    </w:p>
    <w:tbl>
      <w:tblPr>
        <w:tblStyle w:val="TableGrid"/>
        <w:tblW w:w="9625" w:type="dxa"/>
        <w:tblLook w:val="04A0" w:firstRow="1" w:lastRow="0" w:firstColumn="1" w:lastColumn="0" w:noHBand="0" w:noVBand="1"/>
      </w:tblPr>
      <w:tblGrid>
        <w:gridCol w:w="4675"/>
        <w:gridCol w:w="4950"/>
      </w:tblGrid>
      <w:tr w:rsidR="00AF4EC2" w:rsidTr="00F90B3C">
        <w:tc>
          <w:tcPr>
            <w:tcW w:w="4675" w:type="dxa"/>
            <w:shd w:val="clear" w:color="auto" w:fill="F2F2F2" w:themeFill="background1" w:themeFillShade="F2"/>
          </w:tcPr>
          <w:p w:rsidR="00AF4EC2" w:rsidRPr="00F90B3C" w:rsidRDefault="00AF4EC2" w:rsidP="00F90B3C">
            <w:pPr>
              <w:jc w:val="center"/>
              <w:rPr>
                <w:b/>
              </w:rPr>
            </w:pPr>
            <w:r w:rsidRPr="00F90B3C">
              <w:rPr>
                <w:b/>
              </w:rPr>
              <w:t>File Name</w:t>
            </w:r>
          </w:p>
        </w:tc>
        <w:tc>
          <w:tcPr>
            <w:tcW w:w="4950" w:type="dxa"/>
            <w:shd w:val="clear" w:color="auto" w:fill="F2F2F2" w:themeFill="background1" w:themeFillShade="F2"/>
          </w:tcPr>
          <w:p w:rsidR="00AF4EC2" w:rsidRPr="00F90B3C" w:rsidRDefault="00AF4EC2" w:rsidP="00F90B3C">
            <w:pPr>
              <w:jc w:val="center"/>
              <w:rPr>
                <w:b/>
              </w:rPr>
            </w:pPr>
            <w:r w:rsidRPr="00F90B3C">
              <w:rPr>
                <w:b/>
              </w:rPr>
              <w:t>Purpose</w:t>
            </w:r>
          </w:p>
        </w:tc>
      </w:tr>
      <w:tr w:rsidR="00AF4EC2" w:rsidTr="00F90B3C">
        <w:tc>
          <w:tcPr>
            <w:tcW w:w="4675" w:type="dxa"/>
          </w:tcPr>
          <w:p w:rsidR="00AF4EC2" w:rsidRDefault="00AF4EC2" w:rsidP="00AF4EC2">
            <w:r>
              <w:t xml:space="preserve">NM SBDC Recovery Model.xlsm </w:t>
            </w:r>
          </w:p>
        </w:tc>
        <w:tc>
          <w:tcPr>
            <w:tcW w:w="4950" w:type="dxa"/>
          </w:tcPr>
          <w:p w:rsidR="00AF4EC2" w:rsidRDefault="00AF4EC2" w:rsidP="00AF4EC2">
            <w:r>
              <w:t>Template for modeling with client information</w:t>
            </w:r>
          </w:p>
        </w:tc>
      </w:tr>
      <w:tr w:rsidR="00AF4EC2" w:rsidTr="00F90B3C">
        <w:tc>
          <w:tcPr>
            <w:tcW w:w="4675" w:type="dxa"/>
          </w:tcPr>
          <w:p w:rsidR="00AF4EC2" w:rsidRDefault="00AF4EC2" w:rsidP="00AF4EC2">
            <w:r>
              <w:t>NM SBDC Recovery Model – Example.xlsm</w:t>
            </w:r>
          </w:p>
        </w:tc>
        <w:tc>
          <w:tcPr>
            <w:tcW w:w="4950" w:type="dxa"/>
          </w:tcPr>
          <w:p w:rsidR="00AF4EC2" w:rsidRDefault="00AF4EC2" w:rsidP="00AF4EC2">
            <w:r>
              <w:t>Example report with hypothetical information</w:t>
            </w:r>
          </w:p>
        </w:tc>
      </w:tr>
      <w:tr w:rsidR="00AF4EC2" w:rsidTr="00F90B3C">
        <w:tc>
          <w:tcPr>
            <w:tcW w:w="4675" w:type="dxa"/>
          </w:tcPr>
          <w:p w:rsidR="00F90B3C" w:rsidRDefault="00F90B3C" w:rsidP="00F90B3C"/>
          <w:p w:rsidR="00AF4EC2" w:rsidRDefault="00AF4EC2" w:rsidP="00F90B3C">
            <w:r>
              <w:t>Client Homework Sheet.pdf</w:t>
            </w:r>
          </w:p>
        </w:tc>
        <w:tc>
          <w:tcPr>
            <w:tcW w:w="4950" w:type="dxa"/>
          </w:tcPr>
          <w:p w:rsidR="00AF4EC2" w:rsidRDefault="00AF4EC2" w:rsidP="00AF4EC2">
            <w:r>
              <w:t>Printable or email attachment to provide t</w:t>
            </w:r>
            <w:r w:rsidR="00F90B3C">
              <w:t>o clients in advance of meeting.  Clients should make an effort to fill this out and bring with to their SBDC meeting.</w:t>
            </w:r>
          </w:p>
        </w:tc>
      </w:tr>
      <w:tr w:rsidR="00AF4EC2" w:rsidTr="00F90B3C">
        <w:tc>
          <w:tcPr>
            <w:tcW w:w="4675" w:type="dxa"/>
          </w:tcPr>
          <w:p w:rsidR="00AF4EC2" w:rsidRDefault="00F90B3C" w:rsidP="00AF4EC2">
            <w:r>
              <w:t>Recovery Model Quick Guide.d</w:t>
            </w:r>
            <w:r w:rsidR="00AF4EC2">
              <w:t>oc</w:t>
            </w:r>
          </w:p>
        </w:tc>
        <w:tc>
          <w:tcPr>
            <w:tcW w:w="4950" w:type="dxa"/>
          </w:tcPr>
          <w:p w:rsidR="00AF4EC2" w:rsidRDefault="00AF4EC2" w:rsidP="00AF4EC2">
            <w:r>
              <w:t>This document</w:t>
            </w:r>
          </w:p>
        </w:tc>
      </w:tr>
    </w:tbl>
    <w:p w:rsidR="00AF4EC2" w:rsidRDefault="00AF4EC2" w:rsidP="00AF4EC2">
      <w:pPr>
        <w:spacing w:after="0"/>
      </w:pPr>
    </w:p>
    <w:p w:rsidR="00F90B3C" w:rsidRPr="00F90B3C" w:rsidRDefault="00F90B3C" w:rsidP="00AF4EC2">
      <w:pPr>
        <w:spacing w:after="0"/>
        <w:rPr>
          <w:b/>
          <w:i/>
        </w:rPr>
      </w:pPr>
      <w:r w:rsidRPr="00F90B3C">
        <w:rPr>
          <w:b/>
          <w:i/>
        </w:rPr>
        <w:t>Tabs within NM SBDC Recovery Model:</w:t>
      </w:r>
    </w:p>
    <w:tbl>
      <w:tblPr>
        <w:tblStyle w:val="TableGrid"/>
        <w:tblW w:w="9715" w:type="dxa"/>
        <w:tblLook w:val="04A0" w:firstRow="1" w:lastRow="0" w:firstColumn="1" w:lastColumn="0" w:noHBand="0" w:noVBand="1"/>
      </w:tblPr>
      <w:tblGrid>
        <w:gridCol w:w="2425"/>
        <w:gridCol w:w="720"/>
        <w:gridCol w:w="6570"/>
      </w:tblGrid>
      <w:tr w:rsidR="00F90B3C" w:rsidTr="007D3165">
        <w:tc>
          <w:tcPr>
            <w:tcW w:w="2425" w:type="dxa"/>
            <w:shd w:val="clear" w:color="auto" w:fill="F2F2F2" w:themeFill="background1" w:themeFillShade="F2"/>
          </w:tcPr>
          <w:p w:rsidR="00F90B3C" w:rsidRPr="00F90B3C" w:rsidRDefault="00F90B3C" w:rsidP="00F90B3C">
            <w:pPr>
              <w:jc w:val="center"/>
              <w:rPr>
                <w:b/>
              </w:rPr>
            </w:pPr>
            <w:r>
              <w:rPr>
                <w:b/>
              </w:rPr>
              <w:t>Tab Name</w:t>
            </w:r>
          </w:p>
        </w:tc>
        <w:tc>
          <w:tcPr>
            <w:tcW w:w="720" w:type="dxa"/>
            <w:shd w:val="clear" w:color="auto" w:fill="F2F2F2" w:themeFill="background1" w:themeFillShade="F2"/>
          </w:tcPr>
          <w:p w:rsidR="00F90B3C" w:rsidRDefault="00F90B3C" w:rsidP="00F90B3C">
            <w:pPr>
              <w:jc w:val="center"/>
              <w:rPr>
                <w:b/>
              </w:rPr>
            </w:pPr>
            <w:r>
              <w:rPr>
                <w:b/>
              </w:rPr>
              <w:t>Tab Color</w:t>
            </w:r>
          </w:p>
        </w:tc>
        <w:tc>
          <w:tcPr>
            <w:tcW w:w="6570" w:type="dxa"/>
            <w:shd w:val="clear" w:color="auto" w:fill="F2F2F2" w:themeFill="background1" w:themeFillShade="F2"/>
          </w:tcPr>
          <w:p w:rsidR="00F90B3C" w:rsidRPr="00F90B3C" w:rsidRDefault="00F90B3C" w:rsidP="00F90B3C">
            <w:pPr>
              <w:jc w:val="center"/>
              <w:rPr>
                <w:b/>
              </w:rPr>
            </w:pPr>
            <w:r>
              <w:rPr>
                <w:b/>
              </w:rPr>
              <w:t>Purpose</w:t>
            </w:r>
          </w:p>
        </w:tc>
      </w:tr>
      <w:tr w:rsidR="00F90B3C" w:rsidTr="007D3165">
        <w:tc>
          <w:tcPr>
            <w:tcW w:w="2425" w:type="dxa"/>
          </w:tcPr>
          <w:p w:rsidR="00F90B3C" w:rsidRPr="007D3165" w:rsidRDefault="00F90B3C" w:rsidP="00AF4EC2">
            <w:pPr>
              <w:rPr>
                <w:sz w:val="20"/>
              </w:rPr>
            </w:pPr>
            <w:r w:rsidRPr="007D3165">
              <w:rPr>
                <w:sz w:val="20"/>
              </w:rPr>
              <w:t>Data Entry</w:t>
            </w:r>
          </w:p>
        </w:tc>
        <w:tc>
          <w:tcPr>
            <w:tcW w:w="720" w:type="dxa"/>
            <w:shd w:val="clear" w:color="auto" w:fill="0070C0"/>
          </w:tcPr>
          <w:p w:rsidR="00F90B3C" w:rsidRDefault="00F90B3C" w:rsidP="00AF4EC2"/>
        </w:tc>
        <w:tc>
          <w:tcPr>
            <w:tcW w:w="6570" w:type="dxa"/>
          </w:tcPr>
          <w:p w:rsidR="00F90B3C" w:rsidRPr="007D3165" w:rsidRDefault="00F90B3C" w:rsidP="00AF4EC2">
            <w:pPr>
              <w:rPr>
                <w:sz w:val="20"/>
              </w:rPr>
            </w:pPr>
            <w:r w:rsidRPr="007D3165">
              <w:rPr>
                <w:sz w:val="20"/>
              </w:rPr>
              <w:t>99% of the entry of client data occurs here.  Use the information that they provide in their Client Homework Sheet.</w:t>
            </w:r>
          </w:p>
        </w:tc>
      </w:tr>
      <w:tr w:rsidR="00F90B3C" w:rsidTr="007D3165">
        <w:tc>
          <w:tcPr>
            <w:tcW w:w="2425" w:type="dxa"/>
          </w:tcPr>
          <w:p w:rsidR="00F90B3C" w:rsidRPr="007D3165" w:rsidRDefault="00F90B3C" w:rsidP="00AF4EC2">
            <w:pPr>
              <w:rPr>
                <w:sz w:val="20"/>
              </w:rPr>
            </w:pPr>
            <w:r w:rsidRPr="007D3165">
              <w:rPr>
                <w:sz w:val="20"/>
              </w:rPr>
              <w:t>Cover</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AF4EC2">
            <w:pPr>
              <w:rPr>
                <w:sz w:val="20"/>
              </w:rPr>
            </w:pPr>
            <w:r w:rsidRPr="007D3165">
              <w:rPr>
                <w:sz w:val="20"/>
              </w:rPr>
              <w:t>Cover sheet for NM SBDC brand recognition.  Recommend printing this as part of reports provided to clients.</w:t>
            </w:r>
          </w:p>
        </w:tc>
      </w:tr>
      <w:tr w:rsidR="00F90B3C" w:rsidTr="007D3165">
        <w:tc>
          <w:tcPr>
            <w:tcW w:w="2425" w:type="dxa"/>
          </w:tcPr>
          <w:p w:rsidR="00F90B3C" w:rsidRPr="007D3165" w:rsidRDefault="00F90B3C" w:rsidP="00AF4EC2">
            <w:pPr>
              <w:rPr>
                <w:sz w:val="20"/>
              </w:rPr>
            </w:pPr>
            <w:r w:rsidRPr="007D3165">
              <w:rPr>
                <w:sz w:val="20"/>
              </w:rPr>
              <w:t>Break Even Analysis</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7D6175">
            <w:pPr>
              <w:rPr>
                <w:sz w:val="20"/>
              </w:rPr>
            </w:pPr>
            <w:r w:rsidRPr="007D3165">
              <w:rPr>
                <w:sz w:val="20"/>
              </w:rPr>
              <w:t>This tab walks through the calculation of Break Even and provides the client insight on how B/E is calculated as well as the importance of concepts such as Fixed Expenses vs Variable Expenses and the role the Contribution Margin plays.  Interactive reports are generated within this tab.  Based on the information entered into the Baseline Scenario (Pnl3) in the Data Entry tab.</w:t>
            </w:r>
          </w:p>
        </w:tc>
      </w:tr>
      <w:tr w:rsidR="00F90B3C" w:rsidTr="007D3165">
        <w:tc>
          <w:tcPr>
            <w:tcW w:w="2425" w:type="dxa"/>
          </w:tcPr>
          <w:p w:rsidR="00F90B3C" w:rsidRPr="007D3165" w:rsidRDefault="00F90B3C" w:rsidP="00AF4EC2">
            <w:pPr>
              <w:rPr>
                <w:sz w:val="20"/>
              </w:rPr>
            </w:pPr>
            <w:r w:rsidRPr="007D3165">
              <w:rPr>
                <w:sz w:val="20"/>
              </w:rPr>
              <w:t>BE Chart</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AF4EC2">
            <w:pPr>
              <w:rPr>
                <w:sz w:val="20"/>
              </w:rPr>
            </w:pPr>
            <w:r w:rsidRPr="007D3165">
              <w:rPr>
                <w:sz w:val="20"/>
              </w:rPr>
              <w:t>Graphical representation of this Break Even Point.  Reflects 3 scenarios plus the B/E Point.  Scenarios 1, 3 and 5 show on this graph (graphing all 5 scenarios became too “busy”)</w:t>
            </w:r>
          </w:p>
        </w:tc>
      </w:tr>
      <w:tr w:rsidR="00F90B3C" w:rsidTr="007D3165">
        <w:tc>
          <w:tcPr>
            <w:tcW w:w="2425" w:type="dxa"/>
          </w:tcPr>
          <w:p w:rsidR="00F90B3C" w:rsidRPr="007D3165" w:rsidRDefault="00F90B3C" w:rsidP="00AF4EC2">
            <w:pPr>
              <w:rPr>
                <w:sz w:val="20"/>
              </w:rPr>
            </w:pPr>
            <w:r w:rsidRPr="007D3165">
              <w:rPr>
                <w:sz w:val="20"/>
              </w:rPr>
              <w:t>Change in Cash</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AF4EC2">
            <w:pPr>
              <w:rPr>
                <w:sz w:val="20"/>
              </w:rPr>
            </w:pPr>
            <w:r w:rsidRPr="007D3165">
              <w:rPr>
                <w:sz w:val="20"/>
              </w:rPr>
              <w:t>Shows numerically whether more cash is coming in or going out in a given year.  Green = Good, Red = Bad.</w:t>
            </w:r>
          </w:p>
        </w:tc>
      </w:tr>
      <w:tr w:rsidR="00F90B3C" w:rsidTr="007D3165">
        <w:tc>
          <w:tcPr>
            <w:tcW w:w="2425" w:type="dxa"/>
          </w:tcPr>
          <w:p w:rsidR="00F90B3C" w:rsidRPr="007D3165" w:rsidRDefault="00F90B3C" w:rsidP="00AF4EC2">
            <w:pPr>
              <w:rPr>
                <w:sz w:val="20"/>
              </w:rPr>
            </w:pPr>
            <w:r w:rsidRPr="007D3165">
              <w:rPr>
                <w:sz w:val="20"/>
              </w:rPr>
              <w:t>Cash on Hand</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AF4EC2">
            <w:pPr>
              <w:rPr>
                <w:sz w:val="20"/>
              </w:rPr>
            </w:pPr>
            <w:r w:rsidRPr="007D3165">
              <w:rPr>
                <w:sz w:val="20"/>
              </w:rPr>
              <w:t>Based on starting cash and projected Cash Flow, shows the viewer, under each of the 5 scenarios, is there a time in which cash runs out (Red).  If it does, and depending on the likelihood of that scenario occurring, the client should begin working to secure additional funds or make structural changes to their expenses.</w:t>
            </w:r>
          </w:p>
        </w:tc>
      </w:tr>
      <w:tr w:rsidR="00F90B3C" w:rsidTr="007D3165">
        <w:tc>
          <w:tcPr>
            <w:tcW w:w="2425" w:type="dxa"/>
          </w:tcPr>
          <w:p w:rsidR="00F90B3C" w:rsidRPr="007D3165" w:rsidRDefault="00F90B3C" w:rsidP="00AF4EC2">
            <w:pPr>
              <w:rPr>
                <w:sz w:val="20"/>
              </w:rPr>
            </w:pPr>
            <w:r w:rsidRPr="007D3165">
              <w:rPr>
                <w:sz w:val="20"/>
              </w:rPr>
              <w:t>Cash on Hand Chart</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AF4EC2">
            <w:pPr>
              <w:rPr>
                <w:sz w:val="20"/>
              </w:rPr>
            </w:pPr>
            <w:r w:rsidRPr="007D3165">
              <w:rPr>
                <w:sz w:val="20"/>
              </w:rPr>
              <w:t>Same information as above, but in line graph form so that the client can see the amount of negative cash on hand in each scenario.</w:t>
            </w:r>
          </w:p>
        </w:tc>
      </w:tr>
      <w:tr w:rsidR="00F90B3C" w:rsidTr="007D3165">
        <w:tc>
          <w:tcPr>
            <w:tcW w:w="2425" w:type="dxa"/>
          </w:tcPr>
          <w:p w:rsidR="00F90B3C" w:rsidRPr="007D3165" w:rsidRDefault="00F90B3C" w:rsidP="00AF4EC2">
            <w:pPr>
              <w:rPr>
                <w:sz w:val="20"/>
              </w:rPr>
            </w:pPr>
            <w:r w:rsidRPr="007D3165">
              <w:rPr>
                <w:sz w:val="20"/>
              </w:rPr>
              <w:t>FFA</w:t>
            </w:r>
            <w:r w:rsidR="007D6175" w:rsidRPr="007D3165">
              <w:rPr>
                <w:sz w:val="20"/>
              </w:rPr>
              <w:t>, FFA pg2</w:t>
            </w:r>
          </w:p>
        </w:tc>
        <w:tc>
          <w:tcPr>
            <w:tcW w:w="720" w:type="dxa"/>
            <w:shd w:val="clear" w:color="auto" w:fill="F7CAAC" w:themeFill="accent2" w:themeFillTint="66"/>
          </w:tcPr>
          <w:p w:rsidR="00F90B3C" w:rsidRDefault="00F90B3C" w:rsidP="00AF4EC2"/>
        </w:tc>
        <w:tc>
          <w:tcPr>
            <w:tcW w:w="6570" w:type="dxa"/>
          </w:tcPr>
          <w:p w:rsidR="00F90B3C" w:rsidRPr="007D3165" w:rsidRDefault="007D6175" w:rsidP="007D3165">
            <w:pPr>
              <w:rPr>
                <w:sz w:val="20"/>
              </w:rPr>
            </w:pPr>
            <w:r w:rsidRPr="007D3165">
              <w:rPr>
                <w:sz w:val="20"/>
              </w:rPr>
              <w:t xml:space="preserve">The Financial Fitness Assessment pages play “counselor in a box”.  Reviewing items such as profitability and cash flow, it provides an interactive analysis of the client’s information and provides the impacts of making structural changes to the </w:t>
            </w:r>
            <w:r w:rsidR="007D3165" w:rsidRPr="007D3165">
              <w:rPr>
                <w:sz w:val="20"/>
              </w:rPr>
              <w:t xml:space="preserve">revenue and expenses of the business.  This analysis is based on the “Baseline Model” as entered into the Data Entry tab. </w:t>
            </w:r>
            <w:r w:rsidRPr="007D3165">
              <w:rPr>
                <w:sz w:val="20"/>
              </w:rPr>
              <w:t xml:space="preserve"> </w:t>
            </w:r>
          </w:p>
        </w:tc>
      </w:tr>
      <w:tr w:rsidR="007D6175" w:rsidTr="007D3165">
        <w:tc>
          <w:tcPr>
            <w:tcW w:w="2425" w:type="dxa"/>
          </w:tcPr>
          <w:p w:rsidR="007D6175" w:rsidRPr="007D3165" w:rsidRDefault="007D6175" w:rsidP="00AF4EC2">
            <w:pPr>
              <w:rPr>
                <w:sz w:val="20"/>
              </w:rPr>
            </w:pPr>
            <w:r w:rsidRPr="007D3165">
              <w:rPr>
                <w:sz w:val="20"/>
              </w:rPr>
              <w:t>Pnl1, Pnl2, Pnl3, Pnl4, Pnl5</w:t>
            </w:r>
          </w:p>
        </w:tc>
        <w:tc>
          <w:tcPr>
            <w:tcW w:w="720" w:type="dxa"/>
            <w:shd w:val="clear" w:color="auto" w:fill="538135" w:themeFill="accent6" w:themeFillShade="BF"/>
          </w:tcPr>
          <w:p w:rsidR="007D6175" w:rsidRDefault="007D6175" w:rsidP="00AF4EC2"/>
        </w:tc>
        <w:tc>
          <w:tcPr>
            <w:tcW w:w="6570" w:type="dxa"/>
          </w:tcPr>
          <w:p w:rsidR="007D6175" w:rsidRPr="007D3165" w:rsidRDefault="007D6175" w:rsidP="00AF4EC2">
            <w:pPr>
              <w:rPr>
                <w:sz w:val="20"/>
              </w:rPr>
            </w:pPr>
            <w:r w:rsidRPr="007D3165">
              <w:rPr>
                <w:sz w:val="20"/>
              </w:rPr>
              <w:t xml:space="preserve">Consolidated 5-year Profit &amp; Loss statements…one for each revenue scenario.  Baseline scenario entered into the Data Entry tab is reflected on Pnl3 </w:t>
            </w:r>
          </w:p>
        </w:tc>
      </w:tr>
      <w:tr w:rsidR="007D6175" w:rsidTr="007D3165">
        <w:tc>
          <w:tcPr>
            <w:tcW w:w="2425" w:type="dxa"/>
          </w:tcPr>
          <w:p w:rsidR="007D6175" w:rsidRPr="007D3165" w:rsidRDefault="007D6175" w:rsidP="00AF4EC2">
            <w:pPr>
              <w:rPr>
                <w:sz w:val="20"/>
              </w:rPr>
            </w:pPr>
            <w:r w:rsidRPr="007D3165">
              <w:rPr>
                <w:sz w:val="20"/>
              </w:rPr>
              <w:t>CF1, CF2, CF3, CF4, CF5</w:t>
            </w:r>
          </w:p>
        </w:tc>
        <w:tc>
          <w:tcPr>
            <w:tcW w:w="720" w:type="dxa"/>
            <w:shd w:val="clear" w:color="auto" w:fill="E2EFD9" w:themeFill="accent6" w:themeFillTint="33"/>
          </w:tcPr>
          <w:p w:rsidR="007D6175" w:rsidRDefault="007D6175" w:rsidP="00AF4EC2"/>
        </w:tc>
        <w:tc>
          <w:tcPr>
            <w:tcW w:w="6570" w:type="dxa"/>
          </w:tcPr>
          <w:p w:rsidR="007D6175" w:rsidRPr="007D3165" w:rsidRDefault="007D6175" w:rsidP="007D6175">
            <w:pPr>
              <w:rPr>
                <w:sz w:val="20"/>
              </w:rPr>
            </w:pPr>
            <w:r w:rsidRPr="007D3165">
              <w:rPr>
                <w:sz w:val="20"/>
              </w:rPr>
              <w:t>Consolidated 5-year Cash Flow statements…one for each revenue scenario.  Baseline scenario entered into the Data Entry tab is reflected on CF3</w:t>
            </w:r>
          </w:p>
        </w:tc>
      </w:tr>
      <w:tr w:rsidR="007D6175" w:rsidTr="007D3165">
        <w:tc>
          <w:tcPr>
            <w:tcW w:w="2425" w:type="dxa"/>
          </w:tcPr>
          <w:p w:rsidR="007D6175" w:rsidRPr="007D3165" w:rsidRDefault="007D6175" w:rsidP="00AF4EC2">
            <w:pPr>
              <w:rPr>
                <w:sz w:val="20"/>
              </w:rPr>
            </w:pPr>
            <w:r w:rsidRPr="007D3165">
              <w:rPr>
                <w:sz w:val="20"/>
              </w:rPr>
              <w:t>Assumptions</w:t>
            </w:r>
          </w:p>
        </w:tc>
        <w:tc>
          <w:tcPr>
            <w:tcW w:w="720" w:type="dxa"/>
            <w:shd w:val="clear" w:color="auto" w:fill="0070C0"/>
          </w:tcPr>
          <w:p w:rsidR="007D6175" w:rsidRDefault="007D6175" w:rsidP="00AF4EC2"/>
        </w:tc>
        <w:tc>
          <w:tcPr>
            <w:tcW w:w="6570" w:type="dxa"/>
          </w:tcPr>
          <w:p w:rsidR="007D6175" w:rsidRPr="007D3165" w:rsidRDefault="007D6175" w:rsidP="00AF4EC2">
            <w:pPr>
              <w:rPr>
                <w:sz w:val="20"/>
              </w:rPr>
            </w:pPr>
            <w:r w:rsidRPr="007D3165">
              <w:rPr>
                <w:sz w:val="20"/>
              </w:rPr>
              <w:t>Notes page to capture any assumptions that you would like to document.  Not tied directly to the projections.</w:t>
            </w:r>
          </w:p>
        </w:tc>
      </w:tr>
    </w:tbl>
    <w:p w:rsidR="00F90B3C" w:rsidRDefault="00F90B3C" w:rsidP="00AF4EC2">
      <w:pPr>
        <w:spacing w:after="0"/>
      </w:pPr>
    </w:p>
    <w:p w:rsidR="00F90B3C" w:rsidRDefault="00F90B3C" w:rsidP="00AF4EC2">
      <w:pPr>
        <w:spacing w:after="0"/>
      </w:pPr>
    </w:p>
    <w:p w:rsidR="00F90B3C" w:rsidRDefault="007D3165" w:rsidP="0078148F">
      <w:pPr>
        <w:spacing w:after="0"/>
        <w:jc w:val="center"/>
      </w:pPr>
      <w:r w:rsidRPr="0078148F">
        <w:rPr>
          <w:b/>
          <w:sz w:val="24"/>
        </w:rPr>
        <w:lastRenderedPageBreak/>
        <w:t>Other Information</w:t>
      </w:r>
    </w:p>
    <w:p w:rsidR="00F90B3C" w:rsidRDefault="00F90B3C" w:rsidP="00AF4EC2">
      <w:pPr>
        <w:spacing w:after="0"/>
      </w:pPr>
    </w:p>
    <w:p w:rsidR="002716CA" w:rsidRDefault="002716CA" w:rsidP="00AF4EC2">
      <w:pPr>
        <w:spacing w:after="0"/>
      </w:pPr>
      <w:r w:rsidRPr="002716CA">
        <w:rPr>
          <w:b/>
          <w:u w:val="single"/>
        </w:rPr>
        <w:t>Data Entry:</w:t>
      </w:r>
      <w:r>
        <w:t xml:space="preserve">  Data is intended to be entered into any cell where you see a </w:t>
      </w:r>
      <w:r w:rsidRPr="002716CA">
        <w:rPr>
          <w:b/>
          <w:color w:val="0000FF"/>
        </w:rPr>
        <w:t>Blue</w:t>
      </w:r>
      <w:r>
        <w:t xml:space="preserve"> font.  </w:t>
      </w:r>
      <w:r w:rsidRPr="002716CA">
        <w:rPr>
          <w:b/>
        </w:rPr>
        <w:t>Black</w:t>
      </w:r>
      <w:r>
        <w:t xml:space="preserve"> fonts generally denote that data is formula-driven and should not be overwritten.</w:t>
      </w:r>
    </w:p>
    <w:p w:rsidR="00F90B3C" w:rsidRDefault="00F90B3C" w:rsidP="00AF4EC2">
      <w:pPr>
        <w:spacing w:after="0"/>
      </w:pPr>
    </w:p>
    <w:p w:rsidR="00F90B3C" w:rsidRDefault="00F90B3C" w:rsidP="00AF4EC2">
      <w:pPr>
        <w:spacing w:after="0"/>
      </w:pPr>
      <w:r w:rsidRPr="00F90B3C">
        <w:rPr>
          <w:b/>
          <w:u w:val="single"/>
        </w:rPr>
        <w:t>Macros:</w:t>
      </w:r>
      <w:r>
        <w:t xml:space="preserve"> When downloading, preserve as a Macro-enabled workbook if you wish to use the print buttons.  Likewise, when opening the file, if your Excel prompts you with a security warning about Macros, accept the macros if you wish to use the print buttons.</w:t>
      </w:r>
    </w:p>
    <w:p w:rsidR="00F90B3C" w:rsidRDefault="00F90B3C" w:rsidP="00AF4EC2">
      <w:pPr>
        <w:spacing w:after="0"/>
      </w:pPr>
    </w:p>
    <w:p w:rsidR="00F90B3C" w:rsidRDefault="00F90B3C" w:rsidP="00AF4EC2">
      <w:pPr>
        <w:spacing w:after="0"/>
      </w:pPr>
      <w:r w:rsidRPr="007D3165">
        <w:rPr>
          <w:b/>
          <w:u w:val="single"/>
        </w:rPr>
        <w:t>Expandable Fields</w:t>
      </w:r>
      <w:r w:rsidR="007D3165" w:rsidRPr="007D3165">
        <w:rPr>
          <w:b/>
          <w:u w:val="single"/>
        </w:rPr>
        <w:t>:</w:t>
      </w:r>
      <w:r w:rsidR="007D3165">
        <w:t xml:space="preserve"> Several of the tabs have information collapsed in order for the printed reports to be more viewable.  When reviewing with the client, you might choose to expand these fields to demonstrate the details.  Just remember to collapse these again prior to printing…otherwise your reports are likely to look too small to be readable.  Tabs where you can find these collapsed fields: Break Even Analysis, rows 19-29 and 51-75; Columns J-M, O-R, T-W, </w:t>
      </w:r>
      <w:proofErr w:type="gramStart"/>
      <w:r w:rsidR="007D3165">
        <w:t>Y</w:t>
      </w:r>
      <w:proofErr w:type="gramEnd"/>
      <w:r w:rsidR="007D3165">
        <w:t xml:space="preserve">-AB on all ten of the </w:t>
      </w:r>
      <w:proofErr w:type="spellStart"/>
      <w:r w:rsidR="007D3165">
        <w:t>Pnl</w:t>
      </w:r>
      <w:proofErr w:type="spellEnd"/>
      <w:r w:rsidR="007D3165">
        <w:t xml:space="preserve"> and CF tabs.</w:t>
      </w:r>
    </w:p>
    <w:p w:rsidR="007D3165" w:rsidRDefault="007D3165" w:rsidP="00AF4EC2">
      <w:pPr>
        <w:spacing w:after="0"/>
      </w:pPr>
    </w:p>
    <w:p w:rsidR="007D3165" w:rsidRDefault="007D3165" w:rsidP="00AF4EC2">
      <w:pPr>
        <w:spacing w:after="0"/>
      </w:pPr>
      <w:r w:rsidRPr="007D3165">
        <w:rPr>
          <w:b/>
          <w:u w:val="single"/>
        </w:rPr>
        <w:t>File Maintenance</w:t>
      </w:r>
      <w:r>
        <w:t>:  Similar to Fin 9.0 used by SBDC to conduct full financial projections, we recommend that you save each client’s file in a different name so as to protect the integrity of the formulas in your workbook.  It is also a good idea to save the master template in a couple different locations so that you always have a clean copy in the event that you accidentally delete something.  Save a copy i</w:t>
      </w:r>
      <w:r w:rsidR="002716CA">
        <w:t xml:space="preserve">n a backup folder, cloud drive, </w:t>
      </w:r>
      <w:proofErr w:type="spellStart"/>
      <w:r w:rsidR="002716CA">
        <w:t>S</w:t>
      </w:r>
      <w:r>
        <w:t>harepoint</w:t>
      </w:r>
      <w:proofErr w:type="spellEnd"/>
      <w:r>
        <w:t xml:space="preserve">, </w:t>
      </w:r>
      <w:proofErr w:type="spellStart"/>
      <w:r>
        <w:t>DropBox</w:t>
      </w:r>
      <w:proofErr w:type="spellEnd"/>
      <w:r>
        <w:t xml:space="preserve"> or simply email a copy to yourself and save the email.</w:t>
      </w:r>
    </w:p>
    <w:p w:rsidR="007D3165" w:rsidRDefault="007D3165" w:rsidP="00AF4EC2">
      <w:pPr>
        <w:spacing w:after="0"/>
      </w:pPr>
    </w:p>
    <w:p w:rsidR="007D3165" w:rsidRDefault="007D3165" w:rsidP="00AF4EC2">
      <w:pPr>
        <w:spacing w:after="0"/>
      </w:pPr>
      <w:r w:rsidRPr="002716CA">
        <w:rPr>
          <w:b/>
          <w:u w:val="single"/>
        </w:rPr>
        <w:t>Providing the file(s) to other:</w:t>
      </w:r>
      <w:r>
        <w:t xml:space="preserve">  Your SBDC leadership will determine who to give access to this software within your state.</w:t>
      </w:r>
      <w:r w:rsidR="002716CA">
        <w:t xml:space="preserve">  It is intended for the SBDC staff and has your SBDC logo and website on the cover page.  If leadership opts to share the software in a live form with other resource providers, consideration should be given to removing the SBDC logo and website.  We would not advise providing the template directly to the client as an Excel document.  Instead, provide them with printed or PDF copies of the report information.  For your convenience, there are four print buttons located at the bottom of the Data Entry tab (or feel free to print your own custom set of tabs.</w:t>
      </w:r>
    </w:p>
    <w:p w:rsidR="002716CA" w:rsidRDefault="002716CA" w:rsidP="00AF4EC2">
      <w:pPr>
        <w:spacing w:after="0"/>
      </w:pPr>
    </w:p>
    <w:p w:rsidR="0078148F" w:rsidRPr="007D3165" w:rsidRDefault="002716CA" w:rsidP="00AF4EC2">
      <w:pPr>
        <w:spacing w:after="0"/>
      </w:pPr>
      <w:r w:rsidRPr="002716CA">
        <w:rPr>
          <w:b/>
          <w:u w:val="single"/>
        </w:rPr>
        <w:t>Printing your own tabs:</w:t>
      </w:r>
      <w:r>
        <w:t xml:space="preserve">  The easiest way to do this is to hold down the “ctrl” button on your keyboard, and while doing so, click the tabs you wish to link together.  This will send them to the printer in a single batch.  ONE WORD OF CAUTION: you must “unlink” these tabs once done.  This can be accomplished by either clicking on one of the tabs that wasn’t linked, or by right-clicking on a linked tab and selecting “ungroup sheets”.  If you do not unlink the sheets, any changes made within a cell of an individual tab will be made throughout all of the grouped sheets in that same cell.  For example, if you have Data Entry, Cover and Break Even Analysis tabs all selected (grouped), and type “Hello” into cell C15 of the Data Entry tab, “Hello” will now appear in cell C15 of the Cover and Break Even Analysis tabs as well (overwriting any formulas that may have existed there).</w:t>
      </w:r>
      <w:bookmarkStart w:id="0" w:name="_GoBack"/>
      <w:bookmarkEnd w:id="0"/>
    </w:p>
    <w:sectPr w:rsidR="0078148F" w:rsidRPr="007D3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C2"/>
    <w:rsid w:val="002716CA"/>
    <w:rsid w:val="0078148F"/>
    <w:rsid w:val="007D3165"/>
    <w:rsid w:val="007D6175"/>
    <w:rsid w:val="00AF4EC2"/>
    <w:rsid w:val="00B33170"/>
    <w:rsid w:val="00F9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1F1B"/>
  <w15:chartTrackingRefBased/>
  <w15:docId w15:val="{976B1225-7240-4E01-8191-2A155E70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Dakota</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Mark</dc:creator>
  <cp:keywords/>
  <dc:description/>
  <cp:lastModifiedBy>Slade, Mark</cp:lastModifiedBy>
  <cp:revision>2</cp:revision>
  <dcterms:created xsi:type="dcterms:W3CDTF">2020-10-29T15:50:00Z</dcterms:created>
  <dcterms:modified xsi:type="dcterms:W3CDTF">2020-10-29T16:44:00Z</dcterms:modified>
</cp:coreProperties>
</file>